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DO WHAT IT SAYS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James 1:1-27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22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 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Do not merely listen to the word, and so deceive yourselves. Do what it says.”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1-8. How are the author, James and recipients described? (1) Why should we be joyful when we face trials? (2-4) What else can we do in times of trials? (5) What attitude should we have when we ask God? (6-8) 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9-18. What should believers in humble circumstances do, along with those who are rich? (9-11) What is the promise of God for those who persevere under trial? (12) How can we know the source of temptation and its consequences? (13-15) How can we overcome temptation in times of trial? (16-18)  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19-27. What does James ask us to do so that we can accept the word humbly? (19-21) Why is it important for us to practice what we hear? (22-25) Why should we keep a tight rein on our tongue? (26) What is the true religion that God accepts? (27)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