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1 Peter 4:12-19</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4:13</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rPr>
          <w:color w:val="ff0000"/>
          <w:sz w:val="24"/>
          <w:szCs w:val="24"/>
        </w:rPr>
      </w:pPr>
      <w:r w:rsidDel="00000000" w:rsidR="00000000" w:rsidRPr="00000000">
        <w:rPr>
          <w:i w:val="1"/>
          <w:color w:val="ff0000"/>
          <w:sz w:val="24"/>
          <w:szCs w:val="24"/>
          <w:highlight w:val="white"/>
          <w:rtl w:val="0"/>
        </w:rPr>
        <w:t xml:space="preserve">  “But rejoice inasmuch as you participate in the sufferings of Christ, So that you may be overjoyed when his glory is revealed”</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Read verses 12-13. Why should the believers not be surprised by the fiery ordeal that had come on them</w:t>
      </w:r>
      <w:r w:rsidDel="00000000" w:rsidR="00000000" w:rsidRPr="00000000">
        <w:rPr>
          <w:sz w:val="24"/>
          <w:szCs w:val="24"/>
          <w:rtl w:val="0"/>
        </w:rPr>
        <w:t xml:space="preserve">? (12) What purpose did God have for them through this fiery ordeal? (12, 1:7) How did Peter characterize these sufferings? (13) How should the believers respond to them? Why?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Read verses 14-16. In what respect were the believers blessed when they were insulted because of the name of Christ? (14) What kinds of things should they avoid suffering for? (15) How should they respond to the opportunity to suffer as a Christian? (16)</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Read verses 17-19. When did God’s judgement begin? (17) Why did God’s judgement begin with God’s household? (17, 12, 1 Cor 11:32) What implication does this have for those who do not obey the gospel? (17-18) How should the believers respond to sufferings in light of God’s will and judgement? (19)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Style w:val="Heading5"/>
      <w:keepNext w:val="0"/>
      <w:keepLines w:val="0"/>
      <w:shd w:fill="ffffff" w:val="clear"/>
      <w:spacing w:after="40" w:before="0" w:lineRule="auto"/>
      <w:jc w:val="center"/>
      <w:rPr>
        <w:b w:val="1"/>
        <w:color w:val="000000"/>
        <w:sz w:val="24"/>
        <w:szCs w:val="24"/>
      </w:rPr>
    </w:pPr>
    <w:bookmarkStart w:colFirst="0" w:colLast="0" w:name="_qiqhe8peh5f4" w:id="0"/>
    <w:bookmarkEnd w:id="0"/>
    <w:r w:rsidDel="00000000" w:rsidR="00000000" w:rsidRPr="00000000">
      <w:rPr>
        <w:b w:val="1"/>
        <w:color w:val="000000"/>
        <w:sz w:val="24"/>
        <w:szCs w:val="24"/>
        <w:rtl w:val="0"/>
      </w:rPr>
      <w:t xml:space="preserve">REJOICE IN THE SUFFERINGS OF CHRIST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